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5" w:rsidRDefault="00CC6BFC" w:rsidP="00CC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8743369"/>
            <wp:effectExtent l="0" t="0" r="0" b="635"/>
            <wp:docPr id="5" name="Рисунок 5" descr="C:\Users\Мишутка1\Desktop\отчет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утка1\Desktop\отчет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FC" w:rsidRDefault="00CC6BFC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C" w:rsidRDefault="00CC6BFC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FC" w:rsidRDefault="00CC6BFC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C7" w:rsidRDefault="001F37C7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F37C7" w:rsidRDefault="001F37C7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работы Детского сада:</w:t>
      </w:r>
    </w:p>
    <w:p w:rsidR="001F37C7" w:rsidRDefault="00291A74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</w:t>
      </w:r>
      <w:r w:rsidR="006D0FAC">
        <w:rPr>
          <w:rFonts w:ascii="Times New Roman" w:hAnsi="Times New Roman" w:cs="Times New Roman"/>
          <w:sz w:val="24"/>
          <w:szCs w:val="24"/>
        </w:rPr>
        <w:t>пятидневная, с понедельника по пятницу. Длительность пребывания детей в группах 12 часов. Режим работы с 7.00 до 19.00.</w:t>
      </w:r>
    </w:p>
    <w:p w:rsidR="006D0FAC" w:rsidRDefault="006D0FAC" w:rsidP="00C0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AC" w:rsidRDefault="00224F0E" w:rsidP="0022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F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F0E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организацией.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</w:p>
    <w:p w:rsidR="00224F0E" w:rsidRDefault="00224F0E" w:rsidP="0022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являются: управляющий совет, педагогический совет, общее собрание </w:t>
      </w:r>
      <w:r w:rsidR="005E684E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>. Единоличным исполнительным органом является руководитель – заведующий.</w:t>
      </w:r>
    </w:p>
    <w:p w:rsidR="00224F0E" w:rsidRDefault="00224F0E" w:rsidP="0022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саду.</w:t>
      </w:r>
    </w:p>
    <w:p w:rsidR="00224F0E" w:rsidRDefault="00224F0E" w:rsidP="00224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7223"/>
      </w:tblGrid>
      <w:tr w:rsidR="00224F0E" w:rsidTr="00224F0E">
        <w:tc>
          <w:tcPr>
            <w:tcW w:w="2830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223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24F0E" w:rsidTr="00224F0E">
        <w:tc>
          <w:tcPr>
            <w:tcW w:w="2830" w:type="dxa"/>
          </w:tcPr>
          <w:p w:rsidR="00224F0E" w:rsidRDefault="00224F0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223" w:type="dxa"/>
          </w:tcPr>
          <w:p w:rsidR="00224F0E" w:rsidRDefault="00224F0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>ффективное взаимодействие с Департаментом Образования МО Алданский район, с АЦБ, с МО «Алданский район»,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224F0E" w:rsidTr="00224F0E">
        <w:tc>
          <w:tcPr>
            <w:tcW w:w="2830" w:type="dxa"/>
          </w:tcPr>
          <w:p w:rsidR="00224F0E" w:rsidRDefault="00642B06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223" w:type="dxa"/>
          </w:tcPr>
          <w:p w:rsidR="00224F0E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образовательной организации;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-финансово-хозяйственная деятельность;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обеспечения.</w:t>
            </w:r>
          </w:p>
        </w:tc>
      </w:tr>
      <w:tr w:rsidR="00224F0E" w:rsidTr="00224F0E">
        <w:tc>
          <w:tcPr>
            <w:tcW w:w="2830" w:type="dxa"/>
          </w:tcPr>
          <w:p w:rsidR="00224F0E" w:rsidRDefault="00642B06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3" w:type="dxa"/>
          </w:tcPr>
          <w:p w:rsidR="00224F0E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84E">
              <w:rPr>
                <w:rFonts w:ascii="Times New Roman" w:hAnsi="Times New Roman" w:cs="Times New Roman"/>
                <w:sz w:val="24"/>
                <w:szCs w:val="24"/>
              </w:rPr>
              <w:t>выбор общей образовательной программы, методических пособий, средств воспитания и обучения</w:t>
            </w:r>
            <w:proofErr w:type="gramStart"/>
            <w:r w:rsidR="005E68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42B06" w:rsidRDefault="00642B06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4E" w:rsidTr="00224F0E">
        <w:tc>
          <w:tcPr>
            <w:tcW w:w="2830" w:type="dxa"/>
          </w:tcPr>
          <w:p w:rsidR="005E684E" w:rsidRDefault="005E684E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сотрудников</w:t>
            </w:r>
          </w:p>
        </w:tc>
        <w:tc>
          <w:tcPr>
            <w:tcW w:w="7223" w:type="dxa"/>
          </w:tcPr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-принимает локальные акты, которые регламентируют деятельность Детского сада и связаны с правами и обязанностями работников;</w:t>
            </w:r>
          </w:p>
          <w:p w:rsidR="005E684E" w:rsidRDefault="005E684E" w:rsidP="00642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 конфликтные ситуации между сотрудниками и администрацией Детского сада;</w:t>
            </w:r>
          </w:p>
          <w:p w:rsidR="005E684E" w:rsidRDefault="005E684E" w:rsidP="004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E1F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корректировке плана мероприятий Детского сада, совершенствованию работы  и развитию материальной базы.</w:t>
            </w:r>
          </w:p>
        </w:tc>
      </w:tr>
    </w:tbl>
    <w:p w:rsidR="00224F0E" w:rsidRDefault="00224F0E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специфики деятельности Детского сада.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.Оценка образовательной деятельности.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Образовательная деятельность в Детском саду организована в соответствии с Федеральным законом от 29.12.2012г №273-ФЗ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</w:t>
      </w:r>
      <w:r w:rsidR="009F34B9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которая составлена в соответствии с ФГОС дошкольного образования, с учетом примерной образовательной программы «Детство», санитарно-эпидемиологическими правилами и нормативами, с учетом недельной нагрузки.</w:t>
      </w:r>
    </w:p>
    <w:p w:rsidR="009F34B9" w:rsidRDefault="009F34B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B9" w:rsidRDefault="009F34B9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посещ</w:t>
      </w:r>
      <w:r w:rsidR="00D426B7">
        <w:rPr>
          <w:rFonts w:ascii="Times New Roman" w:hAnsi="Times New Roman" w:cs="Times New Roman"/>
          <w:sz w:val="24"/>
          <w:szCs w:val="24"/>
        </w:rPr>
        <w:t xml:space="preserve">ают 94 воспитанника в возрасте 4 </w:t>
      </w:r>
      <w:r>
        <w:rPr>
          <w:rFonts w:ascii="Times New Roman" w:hAnsi="Times New Roman" w:cs="Times New Roman"/>
          <w:sz w:val="24"/>
          <w:szCs w:val="24"/>
        </w:rPr>
        <w:t xml:space="preserve">-7 лет. </w:t>
      </w:r>
      <w:r w:rsidR="00D426B7">
        <w:rPr>
          <w:rFonts w:ascii="Times New Roman" w:hAnsi="Times New Roman" w:cs="Times New Roman"/>
          <w:sz w:val="24"/>
          <w:szCs w:val="24"/>
        </w:rPr>
        <w:t>В Детском саду сформировано 3 группы общеразвивающей направленности. Из них: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средняя группа – 32 ребенка;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старшая группа – 30 детей;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подготовительная к школе группа – 32 ребенка.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занятия (по каждому разделу программы);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срезы;</w:t>
      </w:r>
    </w:p>
    <w:p w:rsidR="00D426B7" w:rsidRDefault="00D426B7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  <w:r w:rsidR="00736FFB">
        <w:rPr>
          <w:rFonts w:ascii="Times New Roman" w:hAnsi="Times New Roman" w:cs="Times New Roman"/>
          <w:sz w:val="24"/>
          <w:szCs w:val="24"/>
        </w:rPr>
        <w:t xml:space="preserve"> </w:t>
      </w:r>
      <w:r w:rsidR="0043236B">
        <w:rPr>
          <w:rFonts w:ascii="Times New Roman" w:hAnsi="Times New Roman" w:cs="Times New Roman"/>
          <w:sz w:val="24"/>
          <w:szCs w:val="24"/>
        </w:rPr>
        <w:t xml:space="preserve"> Так, результаты качества освоения ООП Детского сада на конец 2017г выглядят следующим образом:</w:t>
      </w:r>
      <w:r w:rsidR="006F4CB6">
        <w:rPr>
          <w:rFonts w:ascii="Times New Roman" w:hAnsi="Times New Roman" w:cs="Times New Roman"/>
          <w:sz w:val="24"/>
          <w:szCs w:val="24"/>
        </w:rPr>
        <w:t xml:space="preserve"> где синий ряд – начала года, красный - конец</w:t>
      </w:r>
    </w:p>
    <w:p w:rsidR="004A4E1F" w:rsidRDefault="004A4E1F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B6" w:rsidRDefault="006F4CB6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B6" w:rsidRPr="006F4CB6" w:rsidRDefault="00CF7596" w:rsidP="004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2985" cy="3160166"/>
            <wp:effectExtent l="0" t="0" r="762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CB6" w:rsidRDefault="006F4CB6" w:rsidP="006F4CB6">
      <w:pPr>
        <w:rPr>
          <w:rFonts w:ascii="Times New Roman" w:hAnsi="Times New Roman" w:cs="Times New Roman"/>
          <w:sz w:val="24"/>
          <w:szCs w:val="24"/>
        </w:rPr>
      </w:pPr>
    </w:p>
    <w:p w:rsidR="00CF7596" w:rsidRDefault="006F4CB6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2017 года педагоги Детского сада проводили обследование воспитанников подготовительной к школе группы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</w:t>
      </w:r>
      <w:r w:rsidR="00C8704D">
        <w:rPr>
          <w:rFonts w:ascii="Times New Roman" w:hAnsi="Times New Roman" w:cs="Times New Roman"/>
          <w:sz w:val="24"/>
          <w:szCs w:val="24"/>
        </w:rPr>
        <w:t xml:space="preserve"> 31 ребенка.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BD" w:rsidRPr="00670375" w:rsidRDefault="00C866BD" w:rsidP="006F4CB6">
      <w:pPr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C8704D" w:rsidRDefault="00C8704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Детском саду.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работа:</w:t>
      </w:r>
    </w:p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2017г проводился анализ состава семей воспитанников. Характеристика семей по составу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</w:rPr>
            </w:pPr>
            <w:r w:rsidRPr="00C866BD">
              <w:rPr>
                <w:rFonts w:ascii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66BD" w:rsidTr="00C866BD"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51" w:type="dxa"/>
          </w:tcPr>
          <w:p w:rsidR="00C866BD" w:rsidRPr="00C866BD" w:rsidRDefault="00C866BD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C866BD" w:rsidRPr="00C866BD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C866BD" w:rsidRDefault="00C866BD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0" w:rsidRDefault="00E95AE0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E95AE0" w:rsidTr="00E95AE0">
        <w:tc>
          <w:tcPr>
            <w:tcW w:w="3351" w:type="dxa"/>
          </w:tcPr>
          <w:p w:rsidR="00E95AE0" w:rsidRPr="00E95AE0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E95AE0">
              <w:rPr>
                <w:rFonts w:ascii="Times New Roman" w:hAnsi="Times New Roman" w:cs="Times New Roman"/>
              </w:rPr>
              <w:t>Количество детей в семье</w:t>
            </w:r>
          </w:p>
        </w:tc>
        <w:tc>
          <w:tcPr>
            <w:tcW w:w="3351" w:type="dxa"/>
          </w:tcPr>
          <w:p w:rsidR="00E95AE0" w:rsidRPr="00E95AE0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E95AE0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3351" w:type="dxa"/>
          </w:tcPr>
          <w:p w:rsidR="00E95AE0" w:rsidRPr="00E95AE0" w:rsidRDefault="00E95AE0" w:rsidP="006F4CB6">
            <w:pPr>
              <w:jc w:val="both"/>
              <w:rPr>
                <w:rFonts w:ascii="Times New Roman" w:hAnsi="Times New Roman" w:cs="Times New Roman"/>
              </w:rPr>
            </w:pPr>
            <w:r w:rsidRPr="00E95AE0">
              <w:rPr>
                <w:rFonts w:ascii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E95AE0" w:rsidTr="00E95AE0">
        <w:tc>
          <w:tcPr>
            <w:tcW w:w="3351" w:type="dxa"/>
          </w:tcPr>
          <w:p w:rsidR="00E95AE0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E95AE0" w:rsidTr="00E95AE0">
        <w:tc>
          <w:tcPr>
            <w:tcW w:w="3351" w:type="dxa"/>
          </w:tcPr>
          <w:p w:rsidR="00E95AE0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E95AE0" w:rsidTr="00E95AE0">
        <w:tc>
          <w:tcPr>
            <w:tcW w:w="3351" w:type="dxa"/>
          </w:tcPr>
          <w:p w:rsidR="00E95AE0" w:rsidRDefault="00E95AE0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и более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1" w:type="dxa"/>
          </w:tcPr>
          <w:p w:rsidR="00E95AE0" w:rsidRDefault="00D95771" w:rsidP="006F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D95771" w:rsidRDefault="00D95771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E0" w:rsidRDefault="00FA4AD3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Воспитательно-образовательная  работа строится с учетом индивидуальных особенностей детей, с использованием разнообразных форм и методов, в тесной взаимосвязи всех педагогов и родителей. Основная задача педагогов Детского сада при конструировании педагогического процесса состоит в том, чтобы наполнить повседневную жизнь детей интересными делами, проблемами, идеями, включить каждого ребенка в содержательную деятельность, способствовать реализации детских интересов и жизненной активности.</w:t>
      </w:r>
      <w:r w:rsidR="00187674">
        <w:rPr>
          <w:rFonts w:ascii="Times New Roman" w:hAnsi="Times New Roman" w:cs="Times New Roman"/>
          <w:sz w:val="24"/>
          <w:szCs w:val="24"/>
        </w:rPr>
        <w:t xml:space="preserve"> Педагогическая технология руководства предусматривает 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детей. Система НОД обеспечивает развитие творческих замыслов ребенка. Педагоги не дают готовых знаний детям, они их добывают, используя опорные картинки, схемы, пооперационные карты, простейшие чертежи. </w:t>
      </w:r>
      <w:r>
        <w:rPr>
          <w:rFonts w:ascii="Times New Roman" w:hAnsi="Times New Roman" w:cs="Times New Roman"/>
          <w:sz w:val="24"/>
          <w:szCs w:val="24"/>
        </w:rPr>
        <w:t>Детям из неполных семей уделяется большее внимание в первые месяцы после зачисления в Детский сад.</w:t>
      </w:r>
    </w:p>
    <w:p w:rsidR="000F5F71" w:rsidRDefault="000F5F71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7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0F5F71" w:rsidRDefault="000F5F71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Детском саду работали кружки по направлениям:</w:t>
      </w:r>
    </w:p>
    <w:p w:rsidR="000F5F71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-театральный кружок, «Изостудия» - нетрадиционное рисование и аппликация, хореографическая студия «Ласточка», «Волшебные кубики»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0F5F71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Социально-педагогическое: «Играем в шахматы и шаш</w:t>
      </w:r>
      <w:r w:rsidR="00C72A48">
        <w:rPr>
          <w:rFonts w:ascii="Times New Roman" w:hAnsi="Times New Roman" w:cs="Times New Roman"/>
          <w:sz w:val="24"/>
          <w:szCs w:val="24"/>
        </w:rPr>
        <w:t>ки», «</w:t>
      </w:r>
      <w:proofErr w:type="spellStart"/>
      <w:r w:rsidR="00C72A48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C72A48">
        <w:rPr>
          <w:rFonts w:ascii="Times New Roman" w:hAnsi="Times New Roman" w:cs="Times New Roman"/>
          <w:sz w:val="24"/>
          <w:szCs w:val="24"/>
        </w:rPr>
        <w:t xml:space="preserve">» – палочки </w:t>
      </w:r>
      <w:proofErr w:type="spellStart"/>
      <w:r w:rsidR="00C72A48">
        <w:rPr>
          <w:rFonts w:ascii="Times New Roman" w:hAnsi="Times New Roman" w:cs="Times New Roman"/>
          <w:sz w:val="24"/>
          <w:szCs w:val="24"/>
        </w:rPr>
        <w:t>Кюи</w:t>
      </w:r>
      <w:r>
        <w:rPr>
          <w:rFonts w:ascii="Times New Roman" w:hAnsi="Times New Roman" w:cs="Times New Roman"/>
          <w:sz w:val="24"/>
          <w:szCs w:val="24"/>
        </w:rPr>
        <w:t>зенера</w:t>
      </w:r>
      <w:proofErr w:type="spellEnd"/>
    </w:p>
    <w:p w:rsidR="000F5F71" w:rsidRDefault="000F5F71" w:rsidP="000F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 задействовано 66 процентов воспитанников Детского сада.</w:t>
      </w:r>
    </w:p>
    <w:p w:rsidR="000F5F71" w:rsidRDefault="000F5F71" w:rsidP="006F4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F71" w:rsidRDefault="000F5F71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5F71">
        <w:rPr>
          <w:rFonts w:ascii="Times New Roman" w:hAnsi="Times New Roman" w:cs="Times New Roman"/>
          <w:b/>
          <w:sz w:val="24"/>
          <w:szCs w:val="24"/>
        </w:rPr>
        <w:t xml:space="preserve"> Оценка функционирования системы качества образования</w:t>
      </w:r>
    </w:p>
    <w:p w:rsidR="000F5F71" w:rsidRDefault="00736FFB" w:rsidP="006F4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утверждено </w:t>
      </w:r>
      <w:r w:rsidRPr="00736FFB">
        <w:rPr>
          <w:rFonts w:ascii="Times New Roman" w:hAnsi="Times New Roman" w:cs="Times New Roman"/>
          <w:b/>
          <w:sz w:val="24"/>
          <w:szCs w:val="24"/>
          <w:u w:val="single"/>
        </w:rPr>
        <w:t>Положение о внутренней системе оценки качества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02.09.2014г. Мониторинг качества  образовательной деятельности в 2017г показал хорошую работу педагогического коллектива по всем показателям. Состояние здоровья и физическое развитие воспитанников удовлетворительное. 89% детей успешно освоили образовательную программу  дошкольного образования в своей возрастной группе. Воспитанники  подготовительной группы показали высокие показатели готовности к школьному обучению. В течении года воспитанники Детского сада успешно участвовали в конкурсах и мероприятиях различного уровня. </w:t>
      </w:r>
      <w:r w:rsidR="0092760D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участвовали в республиканской мета предметной олимпиаде Березка и показали хорошие результаты. На сайте Детского сада проводится анкетирование </w:t>
      </w:r>
      <w:r w:rsidR="00C2312C">
        <w:rPr>
          <w:rFonts w:ascii="Times New Roman" w:hAnsi="Times New Roman" w:cs="Times New Roman"/>
          <w:sz w:val="24"/>
          <w:szCs w:val="24"/>
        </w:rPr>
        <w:t>родителей: оценка качества работы Детского сада, оценка отлично - 132 , хорошо- 6,  удовлетворительно -3, плохо – 1.</w:t>
      </w:r>
    </w:p>
    <w:p w:rsidR="00C2312C" w:rsidRDefault="00C2312C" w:rsidP="006F4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.Оценка кадрового обеспечения</w:t>
      </w: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2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етский сад укомплектован педагогами на 100% согласно штатному расписанию. Всего сотрудников 22. </w:t>
      </w: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прошли 8 педагогов, переподготовку 4, 1 педагог учится в Вузе на заочном обучении по специальности: дошкольная педагогика и психология.</w:t>
      </w: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Default="001836DE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75" w:rsidRDefault="00670375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2C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29107" y="4528109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A11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2D" w:rsidRDefault="000A1F2D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</w:t>
      </w:r>
      <w:r w:rsidR="005A649B">
        <w:rPr>
          <w:rFonts w:ascii="Times New Roman" w:hAnsi="Times New Roman" w:cs="Times New Roman"/>
          <w:sz w:val="24"/>
          <w:szCs w:val="24"/>
        </w:rPr>
        <w:t xml:space="preserve"> кадрами согласно штатному расписанию. Педагоги постоянно повышают свой профессиональный уровень, эффективно участвуют в различных районных мероприятиях, знакомятся с опытом работы своих коллег в других дошкольных организациях, распространяют опыт работы, показывают мастер-класс для молодых педагогов района.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649B">
        <w:rPr>
          <w:rFonts w:ascii="Times New Roman" w:hAnsi="Times New Roman" w:cs="Times New Roman"/>
          <w:b/>
          <w:sz w:val="24"/>
          <w:szCs w:val="24"/>
        </w:rPr>
        <w:t>. Оценка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49B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>ического обеспечения.</w:t>
      </w:r>
    </w:p>
    <w:p w:rsidR="005A649B" w:rsidRDefault="005A649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 наличие методической литературы является составной частью методической работы с педагогами. Методическая литература располагается в методическом кабинете, в группах согласно возрасту, у узких специалистов (в спортивном зале, в кабинете учителя-логопеда)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етодическая литература представлена по всем образовательным областям основной образовательной программы, детской художественной литературой, периодическими изданиями</w:t>
      </w:r>
      <w:r w:rsidR="00A01DD5">
        <w:rPr>
          <w:rFonts w:ascii="Times New Roman" w:hAnsi="Times New Roman" w:cs="Times New Roman"/>
          <w:sz w:val="24"/>
          <w:szCs w:val="24"/>
        </w:rPr>
        <w:t>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proofErr w:type="gramStart"/>
      <w:r w:rsidR="00A01D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01DD5">
        <w:rPr>
          <w:rFonts w:ascii="Times New Roman" w:hAnsi="Times New Roman" w:cs="Times New Roman"/>
          <w:sz w:val="24"/>
          <w:szCs w:val="24"/>
        </w:rPr>
        <w:t xml:space="preserve">В 2017 г Детский сад  заменил всю методическую литературу  по программе «Детство» в соответствии с требованиями ФГОС. Приобрели наглядно-дидактические пособия по развитию речи, ознакомлению с окружающим, ОБЖ, декоративно прикладное искусство по разделам: гжель, хохлома, городецкая роспись, дымка. Комплексы для оформления родительских уголков, рабочие тетради для детей. Оборудование для выставок для родителей по продуктивной деятельности. В методическом кабинете созданы условия для возможности организации совместной деятельности педагогов. </w:t>
      </w:r>
      <w:r w:rsidR="00A9623E">
        <w:rPr>
          <w:rFonts w:ascii="Times New Roman" w:hAnsi="Times New Roman" w:cs="Times New Roman"/>
          <w:sz w:val="24"/>
          <w:szCs w:val="24"/>
        </w:rPr>
        <w:t xml:space="preserve">Кабинет оснащен компьютерным оборудованием, есть цветной принтер, оборудование для </w:t>
      </w:r>
      <w:proofErr w:type="spellStart"/>
      <w:r w:rsidR="00A9623E">
        <w:rPr>
          <w:rFonts w:ascii="Times New Roman" w:hAnsi="Times New Roman" w:cs="Times New Roman"/>
          <w:sz w:val="24"/>
          <w:szCs w:val="24"/>
        </w:rPr>
        <w:t>ламинированния</w:t>
      </w:r>
      <w:proofErr w:type="spellEnd"/>
      <w:r w:rsidR="00A9623E">
        <w:rPr>
          <w:rFonts w:ascii="Times New Roman" w:hAnsi="Times New Roman" w:cs="Times New Roman"/>
          <w:sz w:val="24"/>
          <w:szCs w:val="24"/>
        </w:rPr>
        <w:t xml:space="preserve">, переплета буклетов, есть доступ в интернет. В каждой возрастной группе есть интерактивная доска, у воспитателей по группам есть ноутбуки. В спортивном зале есть </w:t>
      </w:r>
      <w:r w:rsidR="004A4008">
        <w:rPr>
          <w:rFonts w:ascii="Times New Roman" w:hAnsi="Times New Roman" w:cs="Times New Roman"/>
          <w:sz w:val="24"/>
          <w:szCs w:val="24"/>
        </w:rPr>
        <w:t>проектор</w:t>
      </w:r>
      <w:r w:rsidR="00A9623E">
        <w:rPr>
          <w:rFonts w:ascii="Times New Roman" w:hAnsi="Times New Roman" w:cs="Times New Roman"/>
          <w:sz w:val="24"/>
          <w:szCs w:val="24"/>
        </w:rPr>
        <w:t xml:space="preserve"> мультимедиа,  </w:t>
      </w:r>
      <w:r w:rsidR="00A9623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A9623E" w:rsidRPr="00A9623E">
        <w:rPr>
          <w:rFonts w:ascii="Times New Roman" w:hAnsi="Times New Roman" w:cs="Times New Roman"/>
          <w:sz w:val="24"/>
          <w:szCs w:val="24"/>
        </w:rPr>
        <w:t xml:space="preserve"> </w:t>
      </w:r>
      <w:r w:rsidR="00A9623E">
        <w:rPr>
          <w:rFonts w:ascii="Times New Roman" w:hAnsi="Times New Roman" w:cs="Times New Roman"/>
          <w:sz w:val="24"/>
          <w:szCs w:val="24"/>
        </w:rPr>
        <w:t xml:space="preserve"> плеер. Программное обеспечение позволяет работать с текстовыми редакторами, </w:t>
      </w:r>
      <w:proofErr w:type="spellStart"/>
      <w:r w:rsidR="00A9623E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A9623E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.Оценка материально-технической базы.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помещения – 3;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заведующего- 1;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методический кабинет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-музыкальный-физкультурный зал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сауна-1;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-прачечная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кабинет – 1;</w:t>
      </w:r>
    </w:p>
    <w:p w:rsid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логопеда -1;</w:t>
      </w:r>
    </w:p>
    <w:p w:rsidR="00237FE3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37FE3">
        <w:rPr>
          <w:rFonts w:ascii="Times New Roman" w:hAnsi="Times New Roman" w:cs="Times New Roman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sz w:val="24"/>
          <w:szCs w:val="24"/>
        </w:rPr>
        <w:t>предметно-развивающей среды воспитатели учитывают возрастные, индивидуальные особенности детей своей группы. Оборудованы игровые зоны, большое внимание уделяется оборудованию для сюжетно-ролевых игр, игрушки современны, соответствуют требованиям безопасности. Большое внимание уделяется конструированию. В группа</w:t>
      </w:r>
      <w:r w:rsidR="00237FE3">
        <w:rPr>
          <w:rFonts w:ascii="Times New Roman" w:hAnsi="Times New Roman" w:cs="Times New Roman"/>
          <w:sz w:val="24"/>
          <w:szCs w:val="24"/>
        </w:rPr>
        <w:t xml:space="preserve">х наборы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-дупло,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-сити, наборы конструирования магнитного, трубчатого, кубики. В каждой группе есть наборы палочек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="00237FE3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="00237FE3">
        <w:rPr>
          <w:rFonts w:ascii="Times New Roman" w:hAnsi="Times New Roman" w:cs="Times New Roman"/>
          <w:sz w:val="24"/>
          <w:szCs w:val="24"/>
        </w:rPr>
        <w:t xml:space="preserve">, кубики Никитина, уникум и т.п. в каждой группе оборудован уголок для детского экспериментирования. В группах есть детские спортивные тренажеры, в подготовительной группе спортивный комплекс. В каждой группе выделены обеденные, познавательные и игровые зоны. </w:t>
      </w:r>
    </w:p>
    <w:p w:rsidR="00237FE3" w:rsidRDefault="00237FE3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соответствуют дей</w:t>
      </w:r>
      <w:r w:rsidR="0067731B">
        <w:rPr>
          <w:rFonts w:ascii="Times New Roman" w:hAnsi="Times New Roman" w:cs="Times New Roman"/>
          <w:sz w:val="24"/>
          <w:szCs w:val="24"/>
        </w:rPr>
        <w:t>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7731B" w:rsidRDefault="0067731B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1B" w:rsidRDefault="0067731B" w:rsidP="00677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организации.</w:t>
      </w: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по состоянию на 29.12.2017г</w:t>
      </w: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1"/>
        <w:gridCol w:w="1925"/>
        <w:gridCol w:w="1407"/>
      </w:tblGrid>
      <w:tr w:rsidR="0067731B" w:rsidTr="0069111E">
        <w:tc>
          <w:tcPr>
            <w:tcW w:w="6721" w:type="dxa"/>
          </w:tcPr>
          <w:p w:rsidR="0067731B" w:rsidRPr="0067731B" w:rsidRDefault="0067731B" w:rsidP="00677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режиме полного дня (12ч)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(3-5ч)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семейного 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731B" w:rsidTr="0069111E">
        <w:tc>
          <w:tcPr>
            <w:tcW w:w="6721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часового пребывания</w:t>
            </w:r>
          </w:p>
        </w:tc>
        <w:tc>
          <w:tcPr>
            <w:tcW w:w="1925" w:type="dxa"/>
          </w:tcPr>
          <w:p w:rsidR="0067731B" w:rsidRDefault="006773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67731B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94(100%)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 по коррекции недостатков физического, психического развития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образовательной программе дошкольного образования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E1D1C" w:rsidTr="0069111E">
        <w:tc>
          <w:tcPr>
            <w:tcW w:w="6721" w:type="dxa"/>
          </w:tcPr>
          <w:p w:rsidR="004E1D1C" w:rsidRDefault="004368B2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</w:t>
            </w:r>
          </w:p>
        </w:tc>
        <w:tc>
          <w:tcPr>
            <w:tcW w:w="1925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07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925" w:type="dxa"/>
          </w:tcPr>
          <w:p w:rsidR="004E1D1C" w:rsidRDefault="004E1D1C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D1C" w:rsidTr="0069111E">
        <w:tc>
          <w:tcPr>
            <w:tcW w:w="6721" w:type="dxa"/>
          </w:tcPr>
          <w:p w:rsidR="004E1D1C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925" w:type="dxa"/>
          </w:tcPr>
          <w:p w:rsidR="004E1D1C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4E1D1C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076" w:rsidTr="0069111E">
        <w:tc>
          <w:tcPr>
            <w:tcW w:w="6721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07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(33)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22%)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составляет: до 5 лет 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>(11%)</w:t>
            </w:r>
          </w:p>
        </w:tc>
      </w:tr>
      <w:tr w:rsidR="00F73076" w:rsidTr="0069111E">
        <w:tc>
          <w:tcPr>
            <w:tcW w:w="6721" w:type="dxa"/>
          </w:tcPr>
          <w:p w:rsidR="00F73076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A11C6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численности)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5" w:type="dxa"/>
          </w:tcPr>
          <w:p w:rsidR="00CA11C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407" w:type="dxa"/>
          </w:tcPr>
          <w:p w:rsidR="00F73076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(22%)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(11%)</w:t>
            </w:r>
          </w:p>
        </w:tc>
      </w:tr>
      <w:tr w:rsidR="00F73076" w:rsidTr="0069111E">
        <w:tc>
          <w:tcPr>
            <w:tcW w:w="6721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последние 5 лет прошли повышение квалификации или профессиональную </w:t>
            </w:r>
            <w:r w:rsidR="0069111E">
              <w:rPr>
                <w:rFonts w:ascii="Times New Roman" w:hAnsi="Times New Roman" w:cs="Times New Roman"/>
                <w:sz w:val="24"/>
                <w:szCs w:val="24"/>
              </w:rPr>
              <w:t>переподготовку, от общей численности таких работников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07" w:type="dxa"/>
          </w:tcPr>
          <w:p w:rsidR="00F73076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11(100%)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повышения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925" w:type="dxa"/>
          </w:tcPr>
          <w:p w:rsidR="00F73076" w:rsidRDefault="00CA11C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7" w:type="dxa"/>
          </w:tcPr>
          <w:p w:rsidR="00F73076" w:rsidRDefault="00C34AC0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9(82%)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11C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  <w:tc>
          <w:tcPr>
            <w:tcW w:w="1407" w:type="dxa"/>
          </w:tcPr>
          <w:p w:rsidR="00F73076" w:rsidRDefault="00F73076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3076" w:rsidTr="0069111E">
        <w:tc>
          <w:tcPr>
            <w:tcW w:w="6721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25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F73076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плаванию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11E" w:rsidTr="0069111E">
        <w:tc>
          <w:tcPr>
            <w:tcW w:w="6721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25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69111E" w:rsidRDefault="0069111E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11E" w:rsidTr="004D727B">
        <w:tc>
          <w:tcPr>
            <w:tcW w:w="10053" w:type="dxa"/>
            <w:gridSpan w:val="3"/>
          </w:tcPr>
          <w:p w:rsidR="0069111E" w:rsidRPr="00174C1B" w:rsidRDefault="00174C1B" w:rsidP="006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1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69111E" w:rsidTr="0069111E">
        <w:tc>
          <w:tcPr>
            <w:tcW w:w="6721" w:type="dxa"/>
          </w:tcPr>
          <w:p w:rsidR="0069111E" w:rsidRDefault="00174C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5" w:type="dxa"/>
          </w:tcPr>
          <w:p w:rsidR="0069111E" w:rsidRDefault="00174C1B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07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9111E" w:rsidTr="0069111E">
        <w:tc>
          <w:tcPr>
            <w:tcW w:w="6721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 для дополнительных видов деятельности воспитанников </w:t>
            </w:r>
          </w:p>
        </w:tc>
        <w:tc>
          <w:tcPr>
            <w:tcW w:w="1925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07" w:type="dxa"/>
          </w:tcPr>
          <w:p w:rsidR="0069111E" w:rsidRDefault="00591C67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925" w:type="dxa"/>
            <w:vMerge w:val="restart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</w:p>
        </w:tc>
        <w:tc>
          <w:tcPr>
            <w:tcW w:w="1925" w:type="dxa"/>
            <w:vMerge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A48" w:rsidTr="0069111E">
        <w:tc>
          <w:tcPr>
            <w:tcW w:w="6721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оснашены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925" w:type="dxa"/>
            <w:vMerge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72A48" w:rsidRDefault="00C72A48" w:rsidP="0067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7731B" w:rsidRDefault="0067731B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C0" w:rsidRDefault="00C34AC0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</w:t>
      </w:r>
      <w:r w:rsidR="00113F3F">
        <w:rPr>
          <w:rFonts w:ascii="Times New Roman" w:hAnsi="Times New Roman" w:cs="Times New Roman"/>
          <w:sz w:val="24"/>
          <w:szCs w:val="24"/>
        </w:rPr>
        <w:t>ывать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ФГОС ДО.</w:t>
      </w:r>
    </w:p>
    <w:p w:rsidR="00C34AC0" w:rsidRPr="0067731B" w:rsidRDefault="00C34AC0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75BCF" w:rsidRPr="00275BCF" w:rsidRDefault="00275BCF" w:rsidP="00C2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BCF" w:rsidRPr="00275BCF" w:rsidSect="001362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86"/>
    <w:rsid w:val="000A1F2D"/>
    <w:rsid w:val="000F5F71"/>
    <w:rsid w:val="00113F3F"/>
    <w:rsid w:val="00136208"/>
    <w:rsid w:val="00161A24"/>
    <w:rsid w:val="00174C1B"/>
    <w:rsid w:val="001836DE"/>
    <w:rsid w:val="00187674"/>
    <w:rsid w:val="001D67F6"/>
    <w:rsid w:val="001F37C7"/>
    <w:rsid w:val="00224F0E"/>
    <w:rsid w:val="00237FE3"/>
    <w:rsid w:val="00275BCF"/>
    <w:rsid w:val="00291A74"/>
    <w:rsid w:val="00321AE1"/>
    <w:rsid w:val="00387386"/>
    <w:rsid w:val="0043236B"/>
    <w:rsid w:val="004368B2"/>
    <w:rsid w:val="0047774B"/>
    <w:rsid w:val="004A4008"/>
    <w:rsid w:val="004A4E1F"/>
    <w:rsid w:val="004E1D1C"/>
    <w:rsid w:val="00591C67"/>
    <w:rsid w:val="005A649B"/>
    <w:rsid w:val="005E684E"/>
    <w:rsid w:val="00642B06"/>
    <w:rsid w:val="00670375"/>
    <w:rsid w:val="0067731B"/>
    <w:rsid w:val="00685005"/>
    <w:rsid w:val="0069111E"/>
    <w:rsid w:val="006D0FAC"/>
    <w:rsid w:val="006F4CB6"/>
    <w:rsid w:val="00736FFB"/>
    <w:rsid w:val="0092760D"/>
    <w:rsid w:val="009D251B"/>
    <w:rsid w:val="009F34B9"/>
    <w:rsid w:val="00A01DD5"/>
    <w:rsid w:val="00A9623E"/>
    <w:rsid w:val="00C00663"/>
    <w:rsid w:val="00C2312C"/>
    <w:rsid w:val="00C34AC0"/>
    <w:rsid w:val="00C72A48"/>
    <w:rsid w:val="00C866BD"/>
    <w:rsid w:val="00C8704D"/>
    <w:rsid w:val="00CA11C6"/>
    <w:rsid w:val="00CC6BFC"/>
    <w:rsid w:val="00CD70E5"/>
    <w:rsid w:val="00CF7596"/>
    <w:rsid w:val="00D426B7"/>
    <w:rsid w:val="00D95771"/>
    <w:rsid w:val="00E95AE0"/>
    <w:rsid w:val="00F73076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4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2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усвоение ООП на конец 2017г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ФЭМП</c:v>
                </c:pt>
                <c:pt idx="3">
                  <c:v>мир природы</c:v>
                </c:pt>
                <c:pt idx="4">
                  <c:v>ИЗО</c:v>
                </c:pt>
                <c:pt idx="5">
                  <c:v>труд</c:v>
                </c:pt>
                <c:pt idx="6">
                  <c:v>физо</c:v>
                </c:pt>
                <c:pt idx="7">
                  <c:v>музыкальное развитие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6.8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FD-4872-897B-ADB0A9E7E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развитие речи</c:v>
                </c:pt>
                <c:pt idx="1">
                  <c:v>обучение грамоте</c:v>
                </c:pt>
                <c:pt idx="2">
                  <c:v>ФЭМП</c:v>
                </c:pt>
                <c:pt idx="3">
                  <c:v>мир природы</c:v>
                </c:pt>
                <c:pt idx="4">
                  <c:v>ИЗО</c:v>
                </c:pt>
                <c:pt idx="5">
                  <c:v>труд</c:v>
                </c:pt>
                <c:pt idx="6">
                  <c:v>физо</c:v>
                </c:pt>
                <c:pt idx="7">
                  <c:v>музыкальное развитие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10.5</c:v>
                </c:pt>
                <c:pt idx="1">
                  <c:v>11.8</c:v>
                </c:pt>
                <c:pt idx="2">
                  <c:v>8.5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  <c:pt idx="6">
                  <c:v>12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FD-4872-897B-ADB0A9E7E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42784"/>
        <c:axId val="34344320"/>
      </c:barChart>
      <c:catAx>
        <c:axId val="343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44320"/>
        <c:crosses val="autoZero"/>
        <c:auto val="1"/>
        <c:lblAlgn val="ctr"/>
        <c:lblOffset val="100"/>
        <c:noMultiLvlLbl val="0"/>
      </c:catAx>
      <c:valAx>
        <c:axId val="3434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42784"/>
        <c:crosses val="autoZero"/>
        <c:crossBetween val="between"/>
      </c:valAx>
      <c:spPr>
        <a:noFill/>
        <a:ln cmpd="sng">
          <a:solidFill>
            <a:schemeClr val="accent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accent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accent1"/>
            </a:solidFill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готовность детей к обучению в школе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3.9</c:v>
                </c:pt>
                <c:pt idx="2">
                  <c:v>5.0999999999999996</c:v>
                </c:pt>
                <c:pt idx="3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72-4A5E-A3B6-B4C218E5EE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13.5</c:v>
                </c:pt>
                <c:pt idx="2">
                  <c:v>12.1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72-4A5E-A3B6-B4C218E5EE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психологическая готовность</c:v>
                </c:pt>
                <c:pt idx="1">
                  <c:v>речевая готовность</c:v>
                </c:pt>
                <c:pt idx="2">
                  <c:v>обучение грамоте</c:v>
                </c:pt>
                <c:pt idx="3">
                  <c:v>математическая готовность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13.6</c:v>
                </c:pt>
                <c:pt idx="2">
                  <c:v>13.8</c:v>
                </c:pt>
                <c:pt idx="3">
                  <c:v>15.6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72-4A5E-A3B6-B4C218E5E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404992"/>
        <c:axId val="36114816"/>
      </c:barChart>
      <c:catAx>
        <c:axId val="3440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14816"/>
        <c:crosses val="autoZero"/>
        <c:auto val="1"/>
        <c:lblAlgn val="ctr"/>
        <c:lblOffset val="100"/>
        <c:noMultiLvlLbl val="0"/>
      </c:catAx>
      <c:valAx>
        <c:axId val="3611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0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1E-4765-97C4-ACB2A5F91B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1E-4765-97C4-ACB2A5F91B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1E-4765-97C4-ACB2A5F91B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1E-4765-97C4-ACB2A5F91B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D1E-4765-97C4-ACB2A5F91B1B}"/>
              </c:ext>
            </c:extLst>
          </c:dPt>
          <c:cat>
            <c:strRef>
              <c:f>Лист1!$A$2:$A$6</c:f>
              <c:strCache>
                <c:ptCount val="5"/>
                <c:pt idx="0">
                  <c:v>стаж до 5</c:v>
                </c:pt>
                <c:pt idx="1">
                  <c:v>стаж 10-15</c:v>
                </c:pt>
                <c:pt idx="2">
                  <c:v>стаж 15-20</c:v>
                </c:pt>
                <c:pt idx="3">
                  <c:v>стаж 20-25</c:v>
                </c:pt>
                <c:pt idx="4">
                  <c:v>стаж 25 и выше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F-430E-9B62-384503915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FB-440F-ACFD-F5E28F8B10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FB-440F-ACFD-F5E28F8B10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FB-440F-ACFD-F5E28F8B10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0FB-440F-ACFD-F5E28F8B103C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молодой специалист   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15-4EEF-A783-8BC238932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Мишутка1</cp:lastModifiedBy>
  <cp:revision>13</cp:revision>
  <cp:lastPrinted>2018-04-11T06:16:00Z</cp:lastPrinted>
  <dcterms:created xsi:type="dcterms:W3CDTF">2018-04-05T02:32:00Z</dcterms:created>
  <dcterms:modified xsi:type="dcterms:W3CDTF">2018-04-12T00:53:00Z</dcterms:modified>
</cp:coreProperties>
</file>